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B2" w:rsidRPr="00F401B2" w:rsidRDefault="00F401B2" w:rsidP="00F401B2">
      <w:pPr>
        <w:spacing w:line="240" w:lineRule="auto"/>
        <w:contextualSpacing/>
        <w:jc w:val="center"/>
        <w:rPr>
          <w:b/>
          <w:bCs/>
          <w:i/>
          <w:iCs/>
          <w:sz w:val="60"/>
          <w:szCs w:val="60"/>
        </w:rPr>
      </w:pPr>
      <w:r w:rsidRPr="00610B9E">
        <w:rPr>
          <w:b/>
          <w:bCs/>
          <w:i/>
          <w:iCs/>
          <w:color w:val="FF0000"/>
          <w:sz w:val="60"/>
          <w:szCs w:val="60"/>
        </w:rPr>
        <w:t>«Раз</w:t>
      </w:r>
      <w:r w:rsidRPr="00610B9E">
        <w:rPr>
          <w:b/>
          <w:bCs/>
          <w:i/>
          <w:iCs/>
          <w:color w:val="FFC000"/>
          <w:sz w:val="60"/>
          <w:szCs w:val="60"/>
        </w:rPr>
        <w:t>ноц</w:t>
      </w:r>
      <w:r w:rsidRPr="00610B9E">
        <w:rPr>
          <w:b/>
          <w:bCs/>
          <w:i/>
          <w:iCs/>
          <w:color w:val="FFFF00"/>
          <w:sz w:val="60"/>
          <w:szCs w:val="60"/>
        </w:rPr>
        <w:t>ве</w:t>
      </w:r>
      <w:r w:rsidRPr="00610B9E">
        <w:rPr>
          <w:b/>
          <w:bCs/>
          <w:i/>
          <w:iCs/>
          <w:color w:val="00B050"/>
          <w:sz w:val="60"/>
          <w:szCs w:val="60"/>
        </w:rPr>
        <w:t>тн</w:t>
      </w:r>
      <w:r w:rsidRPr="00610B9E">
        <w:rPr>
          <w:b/>
          <w:bCs/>
          <w:i/>
          <w:iCs/>
          <w:color w:val="00B0F0"/>
          <w:sz w:val="60"/>
          <w:szCs w:val="60"/>
        </w:rPr>
        <w:t>ый</w:t>
      </w:r>
      <w:r w:rsidRPr="00F401B2">
        <w:rPr>
          <w:b/>
          <w:bCs/>
          <w:i/>
          <w:iCs/>
          <w:sz w:val="60"/>
          <w:szCs w:val="60"/>
        </w:rPr>
        <w:t xml:space="preserve"> </w:t>
      </w:r>
      <w:r w:rsidRPr="00610B9E">
        <w:rPr>
          <w:b/>
          <w:bCs/>
          <w:i/>
          <w:iCs/>
          <w:color w:val="0070C0"/>
          <w:sz w:val="60"/>
          <w:szCs w:val="60"/>
        </w:rPr>
        <w:t>де</w:t>
      </w:r>
      <w:r w:rsidRPr="00610B9E">
        <w:rPr>
          <w:b/>
          <w:bCs/>
          <w:i/>
          <w:iCs/>
          <w:color w:val="7030A0"/>
          <w:sz w:val="60"/>
          <w:szCs w:val="60"/>
        </w:rPr>
        <w:t>нь»</w:t>
      </w:r>
    </w:p>
    <w:p w:rsidR="00B43168" w:rsidRDefault="00F401B2" w:rsidP="00F401B2">
      <w:pPr>
        <w:spacing w:line="240" w:lineRule="auto"/>
        <w:contextualSpacing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 xml:space="preserve">(реализация парциальной программы </w:t>
      </w:r>
      <w:r w:rsidRPr="00F401B2">
        <w:rPr>
          <w:b/>
          <w:bCs/>
          <w:i/>
          <w:iCs/>
        </w:rPr>
        <w:t>«Развитие психомоторных и речевых навыков у детей четвертого года жизни»</w:t>
      </w:r>
      <w:proofErr w:type="gramEnd"/>
    </w:p>
    <w:p w:rsidR="00F401B2" w:rsidRDefault="00F401B2" w:rsidP="00F401B2">
      <w:pPr>
        <w:spacing w:line="240" w:lineRule="auto"/>
        <w:contextualSpacing/>
        <w:rPr>
          <w:b/>
          <w:bCs/>
          <w:i/>
          <w:iCs/>
        </w:rPr>
      </w:pPr>
    </w:p>
    <w:p w:rsidR="00F401B2" w:rsidRPr="00F401B2" w:rsidRDefault="00F401B2" w:rsidP="00F401B2">
      <w:pPr>
        <w:spacing w:line="240" w:lineRule="auto"/>
        <w:contextualSpacing/>
      </w:pPr>
      <w:r w:rsidRPr="00F401B2">
        <w:rPr>
          <w:b/>
          <w:bCs/>
          <w:i/>
          <w:iCs/>
        </w:rPr>
        <w:t>Цель программы:</w:t>
      </w:r>
    </w:p>
    <w:p w:rsidR="00000000" w:rsidRPr="00F401B2" w:rsidRDefault="00610B9E" w:rsidP="00F401B2">
      <w:pPr>
        <w:numPr>
          <w:ilvl w:val="0"/>
          <w:numId w:val="1"/>
        </w:numPr>
        <w:spacing w:line="240" w:lineRule="auto"/>
        <w:contextualSpacing/>
      </w:pPr>
      <w:r w:rsidRPr="00F401B2">
        <w:rPr>
          <w:b/>
          <w:bCs/>
          <w:i/>
          <w:iCs/>
        </w:rPr>
        <w:t>психомоторное и речевое развитие детей 4 года жизни как ранняя профилактика общего недоразвития речи.</w:t>
      </w:r>
      <w:bookmarkStart w:id="0" w:name="_GoBack"/>
      <w:bookmarkEnd w:id="0"/>
    </w:p>
    <w:p w:rsidR="00F401B2" w:rsidRPr="00F401B2" w:rsidRDefault="00F401B2" w:rsidP="00F401B2">
      <w:pPr>
        <w:spacing w:line="240" w:lineRule="auto"/>
        <w:contextualSpacing/>
      </w:pPr>
      <w:r w:rsidRPr="00F401B2">
        <w:rPr>
          <w:b/>
          <w:bCs/>
          <w:i/>
          <w:iCs/>
        </w:rPr>
        <w:t>Основные задачи по развитию речи: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Обогащать и активизировать словарь.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Формировать грамматически правильный строй речи.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Развивать связную речь.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Развивать произвольную артикуляционную моторику.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Развивать коммуникативные навыки (общение с детьми и взрослыми).</w:t>
      </w:r>
    </w:p>
    <w:p w:rsidR="00000000" w:rsidRPr="00F401B2" w:rsidRDefault="00610B9E" w:rsidP="00F401B2">
      <w:pPr>
        <w:numPr>
          <w:ilvl w:val="0"/>
          <w:numId w:val="2"/>
        </w:numPr>
        <w:spacing w:line="240" w:lineRule="auto"/>
        <w:contextualSpacing/>
      </w:pPr>
      <w:r w:rsidRPr="00F401B2">
        <w:rPr>
          <w:b/>
          <w:bCs/>
          <w:i/>
          <w:iCs/>
        </w:rPr>
        <w:t>Формировать у детей способность к диалогическому взаимодействию.</w:t>
      </w:r>
    </w:p>
    <w:p w:rsidR="00F401B2" w:rsidRDefault="00F401B2" w:rsidP="00F401B2">
      <w:pPr>
        <w:spacing w:line="240" w:lineRule="auto"/>
        <w:contextualSpacing/>
        <w:rPr>
          <w:b/>
          <w:bCs/>
          <w:i/>
          <w:iCs/>
        </w:rPr>
      </w:pPr>
      <w:r w:rsidRPr="00F401B2">
        <w:rPr>
          <w:b/>
          <w:bCs/>
          <w:i/>
          <w:iCs/>
        </w:rPr>
        <w:t>Задачи:</w:t>
      </w:r>
    </w:p>
    <w:p w:rsidR="00000000" w:rsidRPr="00F401B2" w:rsidRDefault="00610B9E" w:rsidP="00F401B2">
      <w:pPr>
        <w:numPr>
          <w:ilvl w:val="0"/>
          <w:numId w:val="3"/>
        </w:numPr>
        <w:spacing w:line="240" w:lineRule="auto"/>
        <w:contextualSpacing/>
      </w:pPr>
      <w:r w:rsidRPr="00F401B2">
        <w:rPr>
          <w:b/>
          <w:bCs/>
          <w:i/>
          <w:iCs/>
        </w:rPr>
        <w:t>Закрепить знания у детей о цвет</w:t>
      </w:r>
      <w:r w:rsidRPr="00F401B2">
        <w:rPr>
          <w:b/>
          <w:bCs/>
          <w:i/>
          <w:iCs/>
        </w:rPr>
        <w:t>е;</w:t>
      </w:r>
    </w:p>
    <w:p w:rsidR="00000000" w:rsidRPr="00F401B2" w:rsidRDefault="00610B9E" w:rsidP="00F401B2">
      <w:pPr>
        <w:numPr>
          <w:ilvl w:val="0"/>
          <w:numId w:val="3"/>
        </w:numPr>
        <w:spacing w:line="240" w:lineRule="auto"/>
        <w:contextualSpacing/>
      </w:pPr>
      <w:r w:rsidRPr="00F401B2">
        <w:rPr>
          <w:b/>
          <w:bCs/>
          <w:i/>
          <w:iCs/>
        </w:rPr>
        <w:t>Создать благоприятные условия для всестороннего развития детей;</w:t>
      </w:r>
    </w:p>
    <w:p w:rsidR="00000000" w:rsidRPr="00F401B2" w:rsidRDefault="00610B9E" w:rsidP="00F401B2">
      <w:pPr>
        <w:numPr>
          <w:ilvl w:val="0"/>
          <w:numId w:val="3"/>
        </w:numPr>
        <w:spacing w:line="240" w:lineRule="auto"/>
        <w:contextualSpacing/>
      </w:pPr>
      <w:r w:rsidRPr="00F401B2">
        <w:rPr>
          <w:b/>
          <w:bCs/>
          <w:i/>
          <w:iCs/>
        </w:rPr>
        <w:t>Формировать представления о том, что цвет явл</w:t>
      </w:r>
      <w:r w:rsidRPr="00F401B2">
        <w:rPr>
          <w:b/>
          <w:bCs/>
          <w:i/>
          <w:iCs/>
        </w:rPr>
        <w:t>яется признаком предметов;</w:t>
      </w:r>
    </w:p>
    <w:p w:rsidR="00000000" w:rsidRPr="00F401B2" w:rsidRDefault="00610B9E" w:rsidP="00F401B2">
      <w:pPr>
        <w:numPr>
          <w:ilvl w:val="0"/>
          <w:numId w:val="3"/>
        </w:numPr>
        <w:spacing w:line="240" w:lineRule="auto"/>
        <w:contextualSpacing/>
      </w:pPr>
      <w:r w:rsidRPr="00F401B2">
        <w:rPr>
          <w:b/>
          <w:bCs/>
          <w:i/>
          <w:iCs/>
        </w:rPr>
        <w:t xml:space="preserve">Формировать представление о разных оттенках цвета, о </w:t>
      </w:r>
      <w:proofErr w:type="gramStart"/>
      <w:r w:rsidRPr="00F401B2">
        <w:rPr>
          <w:b/>
          <w:bCs/>
          <w:i/>
          <w:iCs/>
        </w:rPr>
        <w:t>том</w:t>
      </w:r>
      <w:proofErr w:type="gramEnd"/>
      <w:r w:rsidRPr="00F401B2">
        <w:rPr>
          <w:b/>
          <w:bCs/>
          <w:i/>
          <w:iCs/>
        </w:rPr>
        <w:t xml:space="preserve"> как его можно получит путём смешивания разных красок;</w:t>
      </w:r>
    </w:p>
    <w:p w:rsidR="00000000" w:rsidRPr="00F401B2" w:rsidRDefault="00610B9E" w:rsidP="00F401B2">
      <w:pPr>
        <w:numPr>
          <w:ilvl w:val="0"/>
          <w:numId w:val="3"/>
        </w:numPr>
        <w:spacing w:line="240" w:lineRule="auto"/>
        <w:contextualSpacing/>
      </w:pPr>
      <w:r w:rsidRPr="00F401B2">
        <w:rPr>
          <w:b/>
          <w:bCs/>
          <w:i/>
          <w:iCs/>
        </w:rPr>
        <w:t>Развивать  цветовое восприятие, внимание, наблюдательность.</w:t>
      </w:r>
    </w:p>
    <w:p w:rsidR="00F401B2" w:rsidRPr="00F401B2" w:rsidRDefault="00F401B2" w:rsidP="00F401B2">
      <w:pPr>
        <w:spacing w:line="240" w:lineRule="auto"/>
        <w:contextualSpacing/>
      </w:pPr>
    </w:p>
    <w:p w:rsidR="00F401B2" w:rsidRDefault="00F401B2" w:rsidP="00F401B2">
      <w:r>
        <w:rPr>
          <w:noProof/>
          <w:lang w:eastAsia="ru-RU"/>
        </w:rPr>
        <w:drawing>
          <wp:inline distT="0" distB="0" distL="0" distR="0">
            <wp:extent cx="6489625" cy="4895850"/>
            <wp:effectExtent l="0" t="0" r="6985" b="0"/>
            <wp:docPr id="1" name="Рисунок 1" descr="C:\Users\Olga\Desktop\ААААААААААА\Разноцветный д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ААААААААААА\Разноцветный ден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34" cy="4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1B2" w:rsidSect="00F401B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CFF"/>
    <w:multiLevelType w:val="hybridMultilevel"/>
    <w:tmpl w:val="0E66A100"/>
    <w:lvl w:ilvl="0" w:tplc="0520D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21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C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A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6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C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A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26EF8"/>
    <w:multiLevelType w:val="hybridMultilevel"/>
    <w:tmpl w:val="FF305BAA"/>
    <w:lvl w:ilvl="0" w:tplc="059C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6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D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2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A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0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1843E2"/>
    <w:multiLevelType w:val="hybridMultilevel"/>
    <w:tmpl w:val="FC7EFB42"/>
    <w:lvl w:ilvl="0" w:tplc="AB10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4F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A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E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EF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A3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1C2877"/>
    <w:multiLevelType w:val="hybridMultilevel"/>
    <w:tmpl w:val="3FE49FD4"/>
    <w:lvl w:ilvl="0" w:tplc="3430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0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A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A9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1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B2"/>
    <w:rsid w:val="001B02D1"/>
    <w:rsid w:val="00610B9E"/>
    <w:rsid w:val="00B43168"/>
    <w:rsid w:val="00F4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2023-05-23T04:12:00Z</dcterms:created>
  <dcterms:modified xsi:type="dcterms:W3CDTF">2023-05-23T04:21:00Z</dcterms:modified>
</cp:coreProperties>
</file>